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10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PAGOS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1520" w:right="728"/>
      </w:pPr>
      <w:r>
        <w:rPr/>
        <w:t>REALIZACIÓN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PAGOS:</w:t>
      </w:r>
      <w:r>
        <w:rPr>
          <w:spacing w:val="10"/>
        </w:rPr>
        <w:t> </w:t>
      </w:r>
      <w:r>
        <w:rPr/>
        <w:t>Pone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manifiesto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proporción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han</w:t>
      </w:r>
      <w:r>
        <w:rPr>
          <w:spacing w:val="10"/>
        </w:rPr>
        <w:t> </w:t>
      </w:r>
      <w:r>
        <w:rPr/>
        <w:t>efectuado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-5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las obligaciones pendientes de pago de presupuestos ya cerrados</w:t>
      </w:r>
    </w:p>
    <w:p>
      <w:pPr>
        <w:pStyle w:val="BodyText"/>
        <w:spacing w:before="193"/>
        <w:ind w:left="1520"/>
      </w:pPr>
      <w:r>
        <w:rPr/>
        <w:t>FÓRMULA:</w:t>
      </w:r>
      <w:r>
        <w:rPr>
          <w:spacing w:val="-1"/>
        </w:rPr>
        <w:t> </w:t>
      </w:r>
      <w:r>
        <w:rPr/>
        <w:t>Pagos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Saldo</w:t>
      </w:r>
      <w:r>
        <w:rPr>
          <w:spacing w:val="-1"/>
        </w:rPr>
        <w:t> </w:t>
      </w:r>
      <w:r>
        <w:rPr/>
        <w:t>inicial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(+/-</w:t>
      </w:r>
      <w:r>
        <w:rPr>
          <w:spacing w:val="-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anulaciones)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0"/>
        <w:gridCol w:w="2000"/>
        <w:gridCol w:w="2000"/>
        <w:gridCol w:w="2100"/>
      </w:tblGrid>
      <w:tr>
        <w:trPr>
          <w:trHeight w:val="455" w:hRule="atLeast"/>
        </w:trPr>
        <w:tc>
          <w:tcPr>
            <w:tcW w:w="4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954" w:right="2184"/>
              <w:jc w:val="center"/>
              <w:rPr>
                <w:sz w:val="20"/>
              </w:rPr>
            </w:pPr>
            <w:r>
              <w:rPr>
                <w:sz w:val="20"/>
              </w:rPr>
              <w:t>Capítulo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771" w:right="691"/>
              <w:jc w:val="center"/>
              <w:rPr>
                <w:sz w:val="20"/>
              </w:rPr>
            </w:pPr>
            <w:r>
              <w:rPr>
                <w:sz w:val="20"/>
              </w:rPr>
              <w:t>Pagos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2" w:right="0"/>
              <w:jc w:val="left"/>
              <w:rPr>
                <w:sz w:val="20"/>
              </w:rPr>
            </w:pPr>
            <w:r>
              <w:rPr>
                <w:sz w:val="20"/>
              </w:rPr>
              <w:t>Saldo Inicial de</w:t>
            </w:r>
          </w:p>
        </w:tc>
        <w:tc>
          <w:tcPr>
            <w:tcW w:w="2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7" w:right="0"/>
              <w:jc w:val="left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>
        <w:trPr>
          <w:trHeight w:val="420" w:hRule="atLeast"/>
        </w:trPr>
        <w:tc>
          <w:tcPr>
            <w:tcW w:w="4900" w:type="dxa"/>
            <w:tcBorders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PERSONAL.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188.944,37</w:t>
            </w:r>
          </w:p>
        </w:tc>
        <w:tc>
          <w:tcPr>
            <w:tcW w:w="2000" w:type="dxa"/>
            <w:tcBorders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188.944,38</w:t>
            </w:r>
          </w:p>
        </w:tc>
        <w:tc>
          <w:tcPr>
            <w:tcW w:w="2100" w:type="dxa"/>
            <w:tcBorders>
              <w:left w:val="single" w:sz="8" w:space="0" w:color="0000FF"/>
              <w:bottom w:val="nil"/>
            </w:tcBorders>
          </w:tcPr>
          <w:p>
            <w:pPr>
              <w:pStyle w:val="TableParagraph"/>
              <w:spacing w:before="150"/>
              <w:ind w:right="95"/>
              <w:rPr>
                <w:sz w:val="20"/>
              </w:rPr>
            </w:pPr>
            <w:r>
              <w:rPr>
                <w:sz w:val="20"/>
              </w:rPr>
              <w:t>100,00 %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2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GASTOS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CORRIENTES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EN</w:t>
            </w:r>
            <w:r>
              <w:rPr>
                <w:sz w:val="20"/>
              </w:rPr>
              <w:t> BIENES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Y SERVICIOS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112.630,20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187.587,59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60,04 %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GASTOS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FINANCIEROS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TRANSFERENCIAS CORRIENTES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63.180,00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101.312,52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62,36 %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6 - INVERSIONES REALES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14.916,46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15.401,47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96,85 %</w:t>
            </w:r>
          </w:p>
        </w:tc>
      </w:tr>
      <w:tr>
        <w:trPr>
          <w:trHeight w:val="300" w:hRule="atLeast"/>
        </w:trPr>
        <w:tc>
          <w:tcPr>
            <w:tcW w:w="490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TRANSFERENCIAS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CAPITAL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451.820,53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  <w:bottom w:val="nil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0 %</w:t>
            </w:r>
          </w:p>
        </w:tc>
      </w:tr>
      <w:tr>
        <w:trPr>
          <w:trHeight w:val="1134" w:hRule="atLeast"/>
        </w:trPr>
        <w:tc>
          <w:tcPr>
            <w:tcW w:w="490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ind w:left="37" w:right="0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379.671,03</w:t>
            </w:r>
          </w:p>
        </w:tc>
        <w:tc>
          <w:tcPr>
            <w:tcW w:w="20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945.068,38</w:t>
            </w:r>
          </w:p>
        </w:tc>
        <w:tc>
          <w:tcPr>
            <w:tcW w:w="2100" w:type="dxa"/>
            <w:tcBorders>
              <w:top w:val="nil"/>
              <w:left w:val="single" w:sz="8" w:space="0" w:color="0000FF"/>
            </w:tcBorders>
          </w:tcPr>
          <w:p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40,17 %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79pt;margin-top:15.001953pt;width:227pt;height:232pt;mso-position-horizontal-relative:page;mso-position-vertical-relative:paragraph;z-index:-15728640;mso-wrap-distance-left:0;mso-wrap-distance-right:0" coordorigin="1580,300" coordsize="4540,4640">
            <v:shape style="position:absolute;left:1600;top:320;width:4500;height:4600" type="#_x0000_t75" stroked="false">
              <v:imagedata r:id="rId5" o:title=""/>
            </v:shape>
            <v:rect style="position:absolute;left:1590;top:310;width:4520;height:4620" filled="false" stroked="true" strokeweight="1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314pt;margin-top:15.001953pt;width:227pt;height:232pt;mso-position-horizontal-relative:page;mso-position-vertical-relative:paragraph;z-index:-15728128;mso-wrap-distance-left:0;mso-wrap-distance-right:0" coordorigin="6280,300" coordsize="4540,4640">
            <v:shape style="position:absolute;left:6300;top:320;width:4500;height:4600" type="#_x0000_t75" stroked="false">
              <v:imagedata r:id="rId6" o:title=""/>
            </v:shape>
            <v:rect style="position:absolute;left:6290;top:310;width:4520;height:4620" filled="false" stroked="true" strokeweight="1pt" strokecolor="#000000">
              <v:stroke dashstyle="solid"/>
            </v:rect>
            <w10:wrap type="topAndBottom"/>
          </v:group>
        </w:pict>
      </w:r>
    </w:p>
    <w:p>
      <w:pPr>
        <w:spacing w:before="124"/>
        <w:ind w:left="57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-&gt;</w:t>
      </w:r>
      <w:r>
        <w:rPr>
          <w:spacing w:val="-12"/>
          <w:sz w:val="20"/>
        </w:rPr>
        <w:t> </w:t>
      </w:r>
      <w:r>
        <w:rPr>
          <w:sz w:val="20"/>
        </w:rPr>
        <w:t>Aporte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detalle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indicador</w:t>
      </w:r>
    </w:p>
    <w:sectPr>
      <w:type w:val="continuous"/>
      <w:pgSz w:w="11900" w:h="16840"/>
      <w:pgMar w:top="1140" w:bottom="28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2023-08-18T08:33:07Z</dcterms:created>
  <dcterms:modified xsi:type="dcterms:W3CDTF">2023-08-18T08:33:07Z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