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png" ContentType="image/pn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8"/>
      </w:pPr>
    </w:p>
    <w:p>
      <w:pPr>
        <w:spacing w:before="107"/>
        <w:ind w:left="180" w:right="0" w:firstLine="0"/>
        <w:jc w:val="left"/>
        <w:rPr>
          <w:rFonts w:ascii="Courier New" w:hAnsi="Courier New"/>
          <w:sz w:val="15"/>
        </w:rPr>
      </w:pPr>
      <w:r>
        <w:rPr>
          <w:rFonts w:ascii="Courier New" w:hAnsi="Courier New"/>
          <w:w w:val="105"/>
          <w:sz w:val="15"/>
        </w:rPr>
        <w:t>Decreto número: ALC/2024/935 de fecha 21/11/2024</w:t>
      </w:r>
    </w:p>
    <w:p>
      <w:pPr>
        <w:pStyle w:val="BodyText"/>
        <w:rPr>
          <w:rFonts w:ascii="Courier New"/>
          <w:sz w:val="20"/>
        </w:rPr>
      </w:pPr>
    </w:p>
    <w:p>
      <w:pPr>
        <w:pStyle w:val="BodyText"/>
        <w:rPr>
          <w:rFonts w:ascii="Courier New"/>
          <w:sz w:val="20"/>
        </w:rPr>
      </w:pPr>
    </w:p>
    <w:p>
      <w:pPr>
        <w:pStyle w:val="BodyText"/>
        <w:spacing w:before="4"/>
        <w:rPr>
          <w:rFonts w:ascii="Courier New"/>
          <w:sz w:val="16"/>
        </w:rPr>
      </w:pPr>
    </w:p>
    <w:p>
      <w:pPr>
        <w:pStyle w:val="BodyText"/>
        <w:spacing w:line="276" w:lineRule="auto" w:before="90"/>
        <w:ind w:left="117" w:right="108" w:firstLine="61"/>
        <w:jc w:val="both"/>
      </w:pPr>
      <w:r>
        <w:rPr/>
        <w:t>En virtud de las atribuciones que me confiere el artículo 21.1.c) de la Ley 7/1985, de 2 de abril y artículos 41.4) y 134.3 del RD 2568/1986, de 28 de noviembre, por el que se aprueba el Reglamento de Organización y Funcionamiento de las Entidades Locales, ROF, por la presente,</w:t>
      </w:r>
    </w:p>
    <w:p>
      <w:pPr>
        <w:pStyle w:val="Heading1"/>
        <w:spacing w:before="200"/>
        <w:ind w:left="3957" w:right="3951"/>
        <w:jc w:val="center"/>
      </w:pPr>
      <w:r>
        <w:rPr/>
        <w:t>RESUELVO:</w:t>
      </w:r>
    </w:p>
    <w:p>
      <w:pPr>
        <w:pStyle w:val="BodyText"/>
        <w:spacing w:before="11"/>
        <w:rPr>
          <w:b/>
          <w:sz w:val="20"/>
        </w:rPr>
      </w:pPr>
    </w:p>
    <w:p>
      <w:pPr>
        <w:pStyle w:val="ListParagraph"/>
        <w:numPr>
          <w:ilvl w:val="0"/>
          <w:numId w:val="1"/>
        </w:numPr>
        <w:tabs>
          <w:tab w:pos="299" w:val="left" w:leader="none"/>
        </w:tabs>
        <w:spacing w:line="276" w:lineRule="auto" w:before="0" w:after="0"/>
        <w:ind w:left="117" w:right="108" w:firstLine="0"/>
        <w:jc w:val="both"/>
        <w:rPr>
          <w:sz w:val="24"/>
        </w:rPr>
      </w:pPr>
      <w:r>
        <w:rPr>
          <w:b/>
          <w:sz w:val="24"/>
        </w:rPr>
        <w:t>Primero</w:t>
      </w:r>
      <w:r>
        <w:rPr>
          <w:sz w:val="24"/>
        </w:rPr>
        <w:t>.- Convocar al </w:t>
      </w:r>
      <w:r>
        <w:rPr>
          <w:b/>
          <w:sz w:val="24"/>
        </w:rPr>
        <w:t>Pleno </w:t>
      </w:r>
      <w:r>
        <w:rPr>
          <w:sz w:val="24"/>
        </w:rPr>
        <w:t>con objeto de celebrar </w:t>
      </w:r>
      <w:r>
        <w:rPr>
          <w:b/>
          <w:sz w:val="24"/>
        </w:rPr>
        <w:t>sesión ordinaria </w:t>
      </w:r>
      <w:r>
        <w:rPr>
          <w:sz w:val="24"/>
        </w:rPr>
        <w:t>que tendrá lugar en el </w:t>
      </w:r>
      <w:r>
        <w:rPr>
          <w:b/>
          <w:sz w:val="24"/>
        </w:rPr>
        <w:t>Salón de Plenos de la Casa Consistorial</w:t>
      </w:r>
      <w:r>
        <w:rPr>
          <w:sz w:val="24"/>
        </w:rPr>
        <w:t>, el </w:t>
      </w:r>
      <w:r>
        <w:rPr>
          <w:b/>
          <w:sz w:val="24"/>
        </w:rPr>
        <w:t>día 26 de noviembre de 2024, a las 08:30 horas</w:t>
      </w:r>
      <w:r>
        <w:rPr>
          <w:sz w:val="24"/>
        </w:rPr>
        <w:t>, con el</w:t>
      </w:r>
      <w:r>
        <w:rPr>
          <w:spacing w:val="-1"/>
          <w:sz w:val="24"/>
        </w:rPr>
        <w:t> </w:t>
      </w:r>
      <w:r>
        <w:rPr>
          <w:sz w:val="24"/>
        </w:rPr>
        <w:t>siguiente,</w:t>
      </w:r>
    </w:p>
    <w:p>
      <w:pPr>
        <w:pStyle w:val="BodyText"/>
        <w:spacing w:before="6"/>
        <w:rPr>
          <w:sz w:val="9"/>
        </w:rPr>
      </w:pPr>
    </w:p>
    <w:p>
      <w:pPr>
        <w:pStyle w:val="Heading1"/>
        <w:spacing w:before="90"/>
        <w:ind w:left="3958" w:right="3951"/>
        <w:jc w:val="center"/>
      </w:pPr>
      <w:r>
        <w:rPr/>
        <w:t>ORDEN DEL DÍA</w:t>
      </w:r>
    </w:p>
    <w:p>
      <w:pPr>
        <w:pStyle w:val="BodyText"/>
        <w:rPr>
          <w:b/>
          <w:sz w:val="21"/>
        </w:rPr>
      </w:pPr>
    </w:p>
    <w:p>
      <w:pPr>
        <w:spacing w:before="0"/>
        <w:ind w:left="117" w:right="0" w:firstLine="0"/>
        <w:jc w:val="left"/>
        <w:rPr>
          <w:b/>
          <w:sz w:val="24"/>
        </w:rPr>
      </w:pPr>
      <w:r>
        <w:rPr>
          <w:b/>
          <w:sz w:val="24"/>
        </w:rPr>
        <w:t>Parte decisoria:</w:t>
      </w:r>
    </w:p>
    <w:p>
      <w:pPr>
        <w:pStyle w:val="BodyText"/>
        <w:spacing w:before="2"/>
        <w:rPr>
          <w:b/>
          <w:sz w:val="13"/>
        </w:rPr>
      </w:pPr>
    </w:p>
    <w:p>
      <w:pPr>
        <w:pStyle w:val="ListParagraph"/>
        <w:numPr>
          <w:ilvl w:val="1"/>
          <w:numId w:val="1"/>
        </w:numPr>
        <w:tabs>
          <w:tab w:pos="827" w:val="left" w:leader="none"/>
        </w:tabs>
        <w:spacing w:line="276" w:lineRule="auto" w:before="90" w:after="0"/>
        <w:ind w:left="837" w:right="110" w:hanging="360"/>
        <w:jc w:val="both"/>
        <w:rPr>
          <w:sz w:val="24"/>
        </w:rPr>
      </w:pPr>
      <w:r>
        <w:rPr>
          <w:sz w:val="24"/>
        </w:rPr>
        <w:t>Aprobación de las actas de las sesiones anteriores: Acta Pleno de fecha 15-10-2024, número de orden 12/2024 (sesión</w:t>
      </w:r>
      <w:r>
        <w:rPr>
          <w:spacing w:val="-1"/>
          <w:sz w:val="24"/>
        </w:rPr>
        <w:t> </w:t>
      </w:r>
      <w:r>
        <w:rPr>
          <w:sz w:val="24"/>
        </w:rPr>
        <w:t>ordinaria).</w:t>
      </w:r>
    </w:p>
    <w:p>
      <w:pPr>
        <w:pStyle w:val="ListParagraph"/>
        <w:numPr>
          <w:ilvl w:val="1"/>
          <w:numId w:val="1"/>
        </w:numPr>
        <w:tabs>
          <w:tab w:pos="827" w:val="left" w:leader="none"/>
        </w:tabs>
        <w:spacing w:line="276" w:lineRule="auto" w:before="200" w:after="0"/>
        <w:ind w:left="837" w:right="109" w:hanging="360"/>
        <w:jc w:val="both"/>
        <w:rPr>
          <w:sz w:val="24"/>
        </w:rPr>
      </w:pPr>
      <w:r>
        <w:rPr>
          <w:sz w:val="24"/>
        </w:rPr>
        <w:t>Número de expediente: 2023/00011388F. MODIFICACIÓN ORDENANZA FISCAL REGULADORA DE LA TASA POR UTILIZACIÓN PRIVATIVA O APROVECHAMIENTO ESPECIAL DEL DOMINIO PÚBLICO</w:t>
      </w:r>
      <w:r>
        <w:rPr>
          <w:spacing w:val="-7"/>
          <w:sz w:val="24"/>
        </w:rPr>
        <w:t> </w:t>
      </w:r>
      <w:r>
        <w:rPr>
          <w:sz w:val="24"/>
        </w:rPr>
        <w:t>LOCAL.</w:t>
      </w:r>
    </w:p>
    <w:p>
      <w:pPr>
        <w:pStyle w:val="ListParagraph"/>
        <w:numPr>
          <w:ilvl w:val="1"/>
          <w:numId w:val="1"/>
        </w:numPr>
        <w:tabs>
          <w:tab w:pos="827" w:val="left" w:leader="none"/>
        </w:tabs>
        <w:spacing w:line="276" w:lineRule="auto" w:before="200" w:after="0"/>
        <w:ind w:left="837" w:right="109" w:hanging="360"/>
        <w:jc w:val="both"/>
        <w:rPr>
          <w:sz w:val="24"/>
        </w:rPr>
      </w:pPr>
      <w:r>
        <w:rPr>
          <w:sz w:val="24"/>
        </w:rPr>
        <w:t>Número de expediente: 2024/00005361W. Modificación del reglamento especial de honores y distinciones del ayuntamiento de</w:t>
      </w:r>
      <w:r>
        <w:rPr>
          <w:spacing w:val="-1"/>
          <w:sz w:val="24"/>
        </w:rPr>
        <w:t> </w:t>
      </w:r>
      <w:r>
        <w:rPr>
          <w:sz w:val="24"/>
        </w:rPr>
        <w:t>tías.</w:t>
      </w:r>
    </w:p>
    <w:p>
      <w:pPr>
        <w:pStyle w:val="ListParagraph"/>
        <w:numPr>
          <w:ilvl w:val="1"/>
          <w:numId w:val="1"/>
        </w:numPr>
        <w:tabs>
          <w:tab w:pos="827" w:val="left" w:leader="none"/>
        </w:tabs>
        <w:spacing w:line="240" w:lineRule="auto" w:before="200" w:after="0"/>
        <w:ind w:left="837" w:right="109" w:hanging="360"/>
        <w:jc w:val="both"/>
        <w:rPr>
          <w:sz w:val="24"/>
        </w:rPr>
      </w:pPr>
      <w:r>
        <w:rPr>
          <w:sz w:val="24"/>
        </w:rPr>
        <w:t>Número de expediente: 2024/00007964Y. FACTURAS CON REPARO DEL INTERVENTOR EN 2024 PARA APROBACIÓN EN PLENO (Carecen de trámite previo al servicio/obra/suministro y de disponibilidad</w:t>
      </w:r>
      <w:r>
        <w:rPr>
          <w:spacing w:val="-1"/>
          <w:sz w:val="24"/>
        </w:rPr>
        <w:t> </w:t>
      </w:r>
      <w:r>
        <w:rPr>
          <w:sz w:val="24"/>
        </w:rPr>
        <w:t>presupuestaria).</w:t>
      </w:r>
    </w:p>
    <w:p>
      <w:pPr>
        <w:pStyle w:val="BodyText"/>
      </w:pPr>
    </w:p>
    <w:p>
      <w:pPr>
        <w:pStyle w:val="Heading1"/>
      </w:pPr>
      <w:r>
        <w:rPr/>
        <w:t>Parte declarativa:</w:t>
      </w:r>
    </w:p>
    <w:p>
      <w:pPr>
        <w:pStyle w:val="BodyText"/>
        <w:rPr>
          <w:b/>
          <w:sz w:val="21"/>
        </w:rPr>
      </w:pPr>
    </w:p>
    <w:p>
      <w:pPr>
        <w:pStyle w:val="ListParagraph"/>
        <w:numPr>
          <w:ilvl w:val="1"/>
          <w:numId w:val="1"/>
        </w:numPr>
        <w:tabs>
          <w:tab w:pos="827" w:val="left" w:leader="none"/>
        </w:tabs>
        <w:spacing w:line="276" w:lineRule="auto" w:before="0" w:after="0"/>
        <w:ind w:left="837" w:right="108" w:hanging="360"/>
        <w:jc w:val="both"/>
        <w:rPr>
          <w:sz w:val="24"/>
        </w:rPr>
      </w:pPr>
      <w:r>
        <w:rPr>
          <w:sz w:val="24"/>
        </w:rPr>
        <w:t>Número de expediente: 2024/00011137M. Moción VOX que se inicie un expediente para el estudio de un lugar habilitado para el cruce a pie de la calle Teide, en su convergencia con la calle Lanzarote, para facilitar el acceso al Centro Sociocultural, buscando la mejor solución para satisfacer esta importante demanda de los ciudadanos de Puerto del</w:t>
      </w:r>
      <w:r>
        <w:rPr>
          <w:spacing w:val="-7"/>
          <w:sz w:val="24"/>
        </w:rPr>
        <w:t> </w:t>
      </w:r>
      <w:r>
        <w:rPr>
          <w:sz w:val="24"/>
        </w:rPr>
        <w:t>Carmen.</w:t>
      </w:r>
    </w:p>
    <w:p>
      <w:pPr>
        <w:pStyle w:val="ListParagraph"/>
        <w:numPr>
          <w:ilvl w:val="1"/>
          <w:numId w:val="1"/>
        </w:numPr>
        <w:tabs>
          <w:tab w:pos="827" w:val="left" w:leader="none"/>
        </w:tabs>
        <w:spacing w:line="276" w:lineRule="auto" w:before="200" w:after="0"/>
        <w:ind w:left="837" w:right="110" w:hanging="360"/>
        <w:jc w:val="both"/>
        <w:rPr>
          <w:sz w:val="24"/>
        </w:rPr>
      </w:pPr>
      <w:r>
        <w:rPr>
          <w:sz w:val="24"/>
        </w:rPr>
        <w:t>Número de expediente: 2024/00011148Q. Moción que presenta el Grupo Popular que se eleve a la consideración del Pleno la siguiente Propuesta de acuerdo: Que el Ayuntamiento elabore un proyecto para llevar el agua a zonas anexas al camino de Hoya</w:t>
      </w:r>
      <w:r>
        <w:rPr>
          <w:spacing w:val="-5"/>
          <w:sz w:val="24"/>
        </w:rPr>
        <w:t> </w:t>
      </w:r>
      <w:r>
        <w:rPr>
          <w:sz w:val="24"/>
        </w:rPr>
        <w:t>Limpia.</w:t>
      </w:r>
    </w:p>
    <w:p>
      <w:pPr>
        <w:pStyle w:val="ListParagraph"/>
        <w:numPr>
          <w:ilvl w:val="1"/>
          <w:numId w:val="1"/>
        </w:numPr>
        <w:tabs>
          <w:tab w:pos="827" w:val="left" w:leader="none"/>
        </w:tabs>
        <w:spacing w:line="276" w:lineRule="auto" w:before="200" w:after="0"/>
        <w:ind w:left="837" w:right="108" w:hanging="360"/>
        <w:jc w:val="both"/>
        <w:rPr>
          <w:sz w:val="24"/>
        </w:rPr>
      </w:pPr>
      <w:r>
        <w:rPr>
          <w:sz w:val="24"/>
        </w:rPr>
        <w:t>Número de expediente: 2024/00011154E. Moción que presenta el Grupo del Partido elevado a la consideración del Pleno la siguiente propuesta de acuerdo: que el Gobierno municipal inicie</w:t>
      </w:r>
      <w:r>
        <w:rPr>
          <w:spacing w:val="25"/>
          <w:sz w:val="24"/>
        </w:rPr>
        <w:t> </w:t>
      </w:r>
      <w:r>
        <w:rPr>
          <w:sz w:val="24"/>
        </w:rPr>
        <w:t>cuanto</w:t>
      </w:r>
      <w:r>
        <w:rPr>
          <w:spacing w:val="26"/>
          <w:sz w:val="24"/>
        </w:rPr>
        <w:t> </w:t>
      </w:r>
      <w:r>
        <w:rPr>
          <w:sz w:val="24"/>
        </w:rPr>
        <w:t>antes</w:t>
      </w:r>
      <w:r>
        <w:rPr>
          <w:spacing w:val="26"/>
          <w:sz w:val="24"/>
        </w:rPr>
        <w:t> </w:t>
      </w:r>
      <w:r>
        <w:rPr>
          <w:sz w:val="24"/>
        </w:rPr>
        <w:t>los</w:t>
      </w:r>
      <w:r>
        <w:rPr>
          <w:spacing w:val="26"/>
          <w:sz w:val="24"/>
        </w:rPr>
        <w:t> </w:t>
      </w:r>
      <w:r>
        <w:rPr>
          <w:sz w:val="24"/>
        </w:rPr>
        <w:t>trámites</w:t>
      </w:r>
      <w:r>
        <w:rPr>
          <w:spacing w:val="26"/>
          <w:sz w:val="24"/>
        </w:rPr>
        <w:t> </w:t>
      </w:r>
      <w:r>
        <w:rPr>
          <w:sz w:val="24"/>
        </w:rPr>
        <w:t>para</w:t>
      </w:r>
      <w:r>
        <w:rPr>
          <w:spacing w:val="26"/>
          <w:sz w:val="24"/>
        </w:rPr>
        <w:t> </w:t>
      </w:r>
      <w:r>
        <w:rPr>
          <w:sz w:val="24"/>
        </w:rPr>
        <w:t>la</w:t>
      </w:r>
      <w:r>
        <w:rPr>
          <w:spacing w:val="26"/>
          <w:sz w:val="24"/>
        </w:rPr>
        <w:t> </w:t>
      </w:r>
      <w:r>
        <w:rPr>
          <w:sz w:val="24"/>
        </w:rPr>
        <w:t>licitación</w:t>
      </w:r>
      <w:r>
        <w:rPr>
          <w:spacing w:val="26"/>
          <w:sz w:val="24"/>
        </w:rPr>
        <w:t> </w:t>
      </w:r>
      <w:r>
        <w:rPr>
          <w:sz w:val="24"/>
        </w:rPr>
        <w:t>del</w:t>
      </w:r>
      <w:r>
        <w:rPr>
          <w:spacing w:val="26"/>
          <w:sz w:val="24"/>
        </w:rPr>
        <w:t> </w:t>
      </w:r>
      <w:r>
        <w:rPr>
          <w:sz w:val="24"/>
        </w:rPr>
        <w:t>servicio</w:t>
      </w:r>
      <w:r>
        <w:rPr>
          <w:spacing w:val="26"/>
          <w:sz w:val="24"/>
        </w:rPr>
        <w:t> </w:t>
      </w:r>
      <w:r>
        <w:rPr>
          <w:sz w:val="24"/>
        </w:rPr>
        <w:t>de</w:t>
      </w:r>
      <w:r>
        <w:rPr>
          <w:spacing w:val="26"/>
          <w:sz w:val="24"/>
        </w:rPr>
        <w:t> </w:t>
      </w:r>
      <w:r>
        <w:rPr>
          <w:sz w:val="24"/>
        </w:rPr>
        <w:t>mantenimiento</w:t>
      </w:r>
      <w:r>
        <w:rPr>
          <w:spacing w:val="26"/>
          <w:sz w:val="24"/>
        </w:rPr>
        <w:t> </w:t>
      </w:r>
      <w:r>
        <w:rPr>
          <w:sz w:val="24"/>
        </w:rPr>
        <w:t>de</w:t>
      </w:r>
    </w:p>
    <w:p>
      <w:pPr>
        <w:spacing w:after="0" w:line="276" w:lineRule="auto"/>
        <w:jc w:val="both"/>
        <w:rPr>
          <w:sz w:val="24"/>
        </w:rPr>
        <w:sectPr>
          <w:headerReference w:type="default" r:id="rId5"/>
          <w:footerReference w:type="default" r:id="rId6"/>
          <w:type w:val="continuous"/>
          <w:pgSz w:w="11910" w:h="16840"/>
          <w:pgMar w:header="326" w:footer="1048" w:top="1660" w:bottom="1240" w:left="1300" w:right="740"/>
          <w:pgNumType w:start="1"/>
        </w:sectPr>
      </w:pPr>
    </w:p>
    <w:p>
      <w:pPr>
        <w:pStyle w:val="BodyText"/>
        <w:spacing w:line="276" w:lineRule="auto" w:before="111"/>
        <w:ind w:left="838" w:right="55"/>
      </w:pPr>
      <w:r>
        <w:rPr/>
        <w:t>alumbrado público y establezca garantías para que la empresa que asume el servicio mantenga al personal actual, evitando así una mayor precariedad laboral.</w:t>
      </w:r>
    </w:p>
    <w:p>
      <w:pPr>
        <w:pStyle w:val="Heading1"/>
        <w:spacing w:before="200"/>
        <w:ind w:left="118"/>
      </w:pPr>
      <w:r>
        <w:rPr/>
        <w:t>Parte de control y fiscalización:</w:t>
      </w:r>
    </w:p>
    <w:p>
      <w:pPr>
        <w:pStyle w:val="BodyText"/>
        <w:rPr>
          <w:b/>
          <w:sz w:val="21"/>
        </w:rPr>
      </w:pPr>
    </w:p>
    <w:p>
      <w:pPr>
        <w:pStyle w:val="ListParagraph"/>
        <w:numPr>
          <w:ilvl w:val="1"/>
          <w:numId w:val="1"/>
        </w:numPr>
        <w:tabs>
          <w:tab w:pos="827" w:val="left" w:leader="none"/>
        </w:tabs>
        <w:spacing w:line="276" w:lineRule="auto" w:before="0" w:after="0"/>
        <w:ind w:left="838" w:right="109" w:hanging="360"/>
        <w:jc w:val="left"/>
        <w:rPr>
          <w:sz w:val="24"/>
        </w:rPr>
      </w:pPr>
      <w:r>
        <w:rPr>
          <w:sz w:val="24"/>
        </w:rPr>
        <w:t>Número Expediente: 2024/00011157W.Auditoría de gestión ejercicio 2023 / FCFM Ayuntamiento de</w:t>
      </w:r>
      <w:r>
        <w:rPr>
          <w:spacing w:val="-1"/>
          <w:sz w:val="24"/>
        </w:rPr>
        <w:t> </w:t>
      </w:r>
      <w:r>
        <w:rPr>
          <w:sz w:val="24"/>
        </w:rPr>
        <w:t>Tías.</w:t>
      </w:r>
    </w:p>
    <w:p>
      <w:pPr>
        <w:pStyle w:val="ListParagraph"/>
        <w:numPr>
          <w:ilvl w:val="1"/>
          <w:numId w:val="1"/>
        </w:numPr>
        <w:tabs>
          <w:tab w:pos="827" w:val="left" w:leader="none"/>
        </w:tabs>
        <w:spacing w:line="240" w:lineRule="auto" w:before="200" w:after="0"/>
        <w:ind w:left="826" w:right="0" w:hanging="349"/>
        <w:jc w:val="left"/>
        <w:rPr>
          <w:sz w:val="24"/>
        </w:rPr>
      </w:pPr>
      <w:r>
        <w:rPr>
          <w:sz w:val="24"/>
        </w:rPr>
        <w:t>Número Expediente: 2024/00000589Z.Liquidación y Cuenta General ejercicio</w:t>
      </w:r>
      <w:r>
        <w:rPr>
          <w:spacing w:val="-7"/>
          <w:sz w:val="24"/>
        </w:rPr>
        <w:t> </w:t>
      </w:r>
      <w:r>
        <w:rPr>
          <w:sz w:val="24"/>
        </w:rPr>
        <w:t>2023.</w:t>
      </w:r>
    </w:p>
    <w:p>
      <w:pPr>
        <w:pStyle w:val="BodyText"/>
        <w:spacing w:before="11"/>
        <w:rPr>
          <w:sz w:val="20"/>
        </w:rPr>
      </w:pPr>
    </w:p>
    <w:p>
      <w:pPr>
        <w:pStyle w:val="ListParagraph"/>
        <w:numPr>
          <w:ilvl w:val="1"/>
          <w:numId w:val="1"/>
        </w:numPr>
        <w:tabs>
          <w:tab w:pos="827" w:val="left" w:leader="none"/>
        </w:tabs>
        <w:spacing w:line="276" w:lineRule="auto" w:before="0" w:after="0"/>
        <w:ind w:left="838" w:right="109" w:hanging="360"/>
        <w:jc w:val="left"/>
        <w:rPr>
          <w:sz w:val="24"/>
        </w:rPr>
      </w:pPr>
      <w:r>
        <w:rPr>
          <w:sz w:val="24"/>
        </w:rPr>
        <w:t>Dación de cuentas de las resoluciones del Alcalde adoptadas desde la última sesión plenaria ordinaria de fecha 15 de octubre de</w:t>
      </w:r>
      <w:r>
        <w:rPr>
          <w:spacing w:val="-2"/>
          <w:sz w:val="24"/>
        </w:rPr>
        <w:t> </w:t>
      </w:r>
      <w:r>
        <w:rPr>
          <w:sz w:val="24"/>
        </w:rPr>
        <w:t>2024.</w:t>
      </w:r>
    </w:p>
    <w:p>
      <w:pPr>
        <w:pStyle w:val="ListParagraph"/>
        <w:numPr>
          <w:ilvl w:val="1"/>
          <w:numId w:val="1"/>
        </w:numPr>
        <w:tabs>
          <w:tab w:pos="827" w:val="left" w:leader="none"/>
        </w:tabs>
        <w:spacing w:line="240" w:lineRule="auto" w:before="200" w:after="0"/>
        <w:ind w:left="826" w:right="0" w:hanging="349"/>
        <w:jc w:val="left"/>
        <w:rPr>
          <w:sz w:val="24"/>
        </w:rPr>
      </w:pPr>
      <w:r>
        <w:rPr>
          <w:sz w:val="24"/>
        </w:rPr>
        <w:t>Asuntos no incluidos en el Orden del</w:t>
      </w:r>
      <w:r>
        <w:rPr>
          <w:spacing w:val="-16"/>
          <w:sz w:val="24"/>
        </w:rPr>
        <w:t> </w:t>
      </w:r>
      <w:r>
        <w:rPr>
          <w:sz w:val="24"/>
        </w:rPr>
        <w:t>Día.</w:t>
      </w:r>
    </w:p>
    <w:p>
      <w:pPr>
        <w:pStyle w:val="BodyText"/>
        <w:rPr>
          <w:sz w:val="21"/>
        </w:rPr>
      </w:pPr>
    </w:p>
    <w:p>
      <w:pPr>
        <w:pStyle w:val="Heading1"/>
        <w:ind w:left="118"/>
      </w:pPr>
      <w:r>
        <w:rPr/>
        <w:t>Ruegos y preguntas:</w:t>
      </w:r>
    </w:p>
    <w:p>
      <w:pPr>
        <w:pStyle w:val="BodyText"/>
        <w:rPr>
          <w:b/>
          <w:sz w:val="21"/>
        </w:rPr>
      </w:pPr>
    </w:p>
    <w:p>
      <w:pPr>
        <w:pStyle w:val="ListParagraph"/>
        <w:numPr>
          <w:ilvl w:val="1"/>
          <w:numId w:val="1"/>
        </w:numPr>
        <w:tabs>
          <w:tab w:pos="827" w:val="left" w:leader="none"/>
        </w:tabs>
        <w:spacing w:line="240" w:lineRule="auto" w:before="0" w:after="0"/>
        <w:ind w:left="826" w:right="0" w:hanging="349"/>
        <w:jc w:val="left"/>
        <w:rPr>
          <w:sz w:val="24"/>
        </w:rPr>
      </w:pPr>
      <w:r>
        <w:rPr>
          <w:sz w:val="24"/>
        </w:rPr>
        <w:t>Ruegos y preguntas.</w:t>
      </w:r>
    </w:p>
    <w:p>
      <w:pPr>
        <w:pStyle w:val="BodyText"/>
        <w:rPr>
          <w:sz w:val="21"/>
        </w:rPr>
      </w:pPr>
    </w:p>
    <w:p>
      <w:pPr>
        <w:pStyle w:val="BodyText"/>
        <w:ind w:left="118" w:right="108"/>
        <w:jc w:val="both"/>
      </w:pPr>
      <w:r>
        <w:rPr>
          <w:b/>
        </w:rPr>
        <w:t>-Segundo</w:t>
      </w:r>
      <w:r>
        <w:rPr/>
        <w:t>.- Contra la presente Resolución, que pone fin a la vía administrativa, puede interponer alternativamente recurso de reposición potestativo ante el órgano que ha dictado el acto de este Ayuntamiento, en el plazo de un mes a contar desde el día siguiente al de la recepción de la presente notificación, de conformidad con los artículos 123 y 124 de la Ley 39/2015, de 1 de octubre, del Procedimiento Administrativo Común de las Administraciones Públicas; o bien interponer directamente recurso contencioso-administrativo, ante los Juzgados de lo Contencioso- Administrativo de Las Palmas, en el plazo de dos meses, a contar desde el día siguiente al de la recepción de la presente notificación, de conformidad con el artículo 46 de la Ley 29/1998, de 13 de julio, de la Jurisdicción Contencioso-Administrativa.</w:t>
      </w:r>
    </w:p>
    <w:p>
      <w:pPr>
        <w:pStyle w:val="BodyText"/>
        <w:ind w:left="118" w:right="108"/>
        <w:jc w:val="both"/>
      </w:pPr>
      <w:r>
        <w:rPr/>
        <w:t>Si se optara por interponer el recurso de reposición potestativo no podrá interponer recurso contencioso-administrativo hasta que aquel sea resuelto expresamente o se haya producido su desestimación por silencio. Todo ello sin perjuicio de que pueda interponer Vd. cualquier otro recurso que pudiera estimar más conveniente a su derecho.</w:t>
      </w:r>
    </w:p>
    <w:p>
      <w:pPr>
        <w:pStyle w:val="BodyText"/>
      </w:pPr>
    </w:p>
    <w:p>
      <w:pPr>
        <w:pStyle w:val="ListParagraph"/>
        <w:numPr>
          <w:ilvl w:val="0"/>
          <w:numId w:val="1"/>
        </w:numPr>
        <w:tabs>
          <w:tab w:pos="318" w:val="left" w:leader="none"/>
        </w:tabs>
        <w:spacing w:line="240" w:lineRule="auto" w:before="0" w:after="0"/>
        <w:ind w:left="118" w:right="107" w:firstLine="0"/>
        <w:jc w:val="both"/>
        <w:rPr>
          <w:rFonts w:ascii="Arial" w:hAnsi="Arial"/>
          <w:sz w:val="22"/>
        </w:rPr>
      </w:pPr>
      <w:r>
        <w:rPr>
          <w:b/>
          <w:sz w:val="24"/>
        </w:rPr>
        <w:t>Tercero</w:t>
      </w:r>
      <w:r>
        <w:rPr>
          <w:sz w:val="24"/>
        </w:rPr>
        <w:t>.- Que la presente convocatoria sea debidamente notificada a los miembros de este órgano, y a la persona titular de la Intervención General, procediéndose a su publicación en el Tablón de Anuncios del Ayuntamiento y en la sede electrónica municipal. La documentación de los asuntos incluidos en el orden del día se encuentra para su examen, en la Secretaría General, en horario de 8:30 horas a 14:00 horas, de lunes a viernes (no</w:t>
      </w:r>
      <w:r>
        <w:rPr>
          <w:spacing w:val="-2"/>
          <w:sz w:val="24"/>
        </w:rPr>
        <w:t> </w:t>
      </w:r>
      <w:r>
        <w:rPr>
          <w:sz w:val="24"/>
        </w:rPr>
        <w:t>festivos</w:t>
      </w:r>
      <w:r>
        <w:rPr>
          <w:rFonts w:ascii="Arial" w:hAnsi="Arial"/>
          <w:sz w:val="22"/>
        </w:rPr>
        <w:t>).</w:t>
      </w:r>
    </w:p>
    <w:p>
      <w:pPr>
        <w:pStyle w:val="BodyText"/>
        <w:ind w:left="118" w:right="110" w:firstLine="61"/>
        <w:jc w:val="both"/>
      </w:pPr>
      <w:r>
        <w:rPr/>
        <w:t>Lo manda y firma el Alcalde del Ayuntamiento de Tías, don José Juan Cruz Saavedra, de lo que como Secretario doy fe.</w:t>
      </w:r>
    </w:p>
    <w:p>
      <w:pPr>
        <w:pStyle w:val="BodyText"/>
        <w:ind w:left="118"/>
        <w:jc w:val="both"/>
      </w:pPr>
      <w:r>
        <w:rPr/>
        <w:t>En Tías (Lanzarote),</w:t>
      </w:r>
    </w:p>
    <w:p>
      <w:pPr>
        <w:pStyle w:val="BodyText"/>
        <w:rPr>
          <w:sz w:val="20"/>
        </w:rPr>
      </w:pPr>
    </w:p>
    <w:p>
      <w:pPr>
        <w:pStyle w:val="BodyText"/>
        <w:rPr>
          <w:sz w:val="20"/>
        </w:rPr>
      </w:pPr>
    </w:p>
    <w:p>
      <w:pPr>
        <w:spacing w:after="0"/>
        <w:rPr>
          <w:sz w:val="20"/>
        </w:rPr>
        <w:sectPr>
          <w:pgSz w:w="11910" w:h="16840"/>
          <w:pgMar w:header="326" w:footer="1048" w:top="1660" w:bottom="1240" w:left="1300" w:right="740"/>
        </w:sectPr>
      </w:pPr>
    </w:p>
    <w:p>
      <w:pPr>
        <w:pStyle w:val="BodyText"/>
        <w:spacing w:before="5"/>
        <w:rPr>
          <w:sz w:val="22"/>
        </w:rPr>
      </w:pPr>
    </w:p>
    <w:p>
      <w:pPr>
        <w:spacing w:line="213" w:lineRule="auto" w:before="0"/>
        <w:ind w:left="1380" w:right="0" w:firstLine="0"/>
        <w:jc w:val="left"/>
        <w:rPr>
          <w:rFonts w:ascii="Arial" w:hAnsi="Arial"/>
          <w:sz w:val="18"/>
        </w:rPr>
      </w:pPr>
      <w:r>
        <w:rPr>
          <w:rFonts w:ascii="Arial" w:hAnsi="Arial"/>
          <w:sz w:val="18"/>
        </w:rPr>
        <w:t>Documento firmado electrónicamente el día 21/11/2024 a las 11:09:03 por:</w:t>
      </w:r>
    </w:p>
    <w:p>
      <w:pPr>
        <w:spacing w:line="176" w:lineRule="exact" w:before="0"/>
        <w:ind w:left="1380" w:right="0" w:firstLine="0"/>
        <w:jc w:val="left"/>
        <w:rPr>
          <w:rFonts w:ascii="Arial"/>
          <w:sz w:val="18"/>
        </w:rPr>
      </w:pPr>
      <w:r>
        <w:rPr>
          <w:rFonts w:ascii="Arial"/>
          <w:sz w:val="18"/>
        </w:rPr>
        <w:t>El Alcalde</w:t>
      </w:r>
    </w:p>
    <w:p>
      <w:pPr>
        <w:spacing w:line="195" w:lineRule="exact" w:before="0"/>
        <w:ind w:left="1380" w:right="0" w:firstLine="0"/>
        <w:jc w:val="left"/>
        <w:rPr>
          <w:rFonts w:ascii="Arial"/>
          <w:sz w:val="18"/>
        </w:rPr>
      </w:pPr>
      <w:r>
        <w:rPr>
          <w:rFonts w:ascii="Arial"/>
          <w:sz w:val="18"/>
        </w:rPr>
        <w:t>Fdo.: JOSE JUAN CRUZ SAAVEDRA</w:t>
      </w:r>
    </w:p>
    <w:p>
      <w:pPr>
        <w:pStyle w:val="BodyText"/>
        <w:spacing w:before="9"/>
        <w:rPr>
          <w:rFonts w:ascii="Arial"/>
          <w:sz w:val="20"/>
        </w:rPr>
      </w:pPr>
      <w:r>
        <w:rPr/>
        <w:br w:type="column"/>
      </w:r>
      <w:r>
        <w:rPr>
          <w:rFonts w:ascii="Arial"/>
          <w:sz w:val="20"/>
        </w:rPr>
      </w:r>
    </w:p>
    <w:p>
      <w:pPr>
        <w:spacing w:line="154" w:lineRule="exact" w:before="0"/>
        <w:ind w:left="375" w:right="0" w:firstLine="0"/>
        <w:jc w:val="left"/>
        <w:rPr>
          <w:rFonts w:ascii="Arial"/>
          <w:sz w:val="14"/>
        </w:rPr>
      </w:pPr>
      <w:r>
        <w:rPr>
          <w:rFonts w:ascii="Arial"/>
          <w:w w:val="105"/>
          <w:sz w:val="14"/>
        </w:rPr>
        <w:t>ISOF 02/2024</w:t>
      </w:r>
    </w:p>
    <w:p>
      <w:pPr>
        <w:spacing w:line="218" w:lineRule="auto" w:before="5"/>
        <w:ind w:left="375" w:right="1270" w:firstLine="0"/>
        <w:jc w:val="left"/>
        <w:rPr>
          <w:rFonts w:ascii="Arial" w:hAnsi="Arial"/>
          <w:sz w:val="14"/>
        </w:rPr>
      </w:pPr>
      <w:r>
        <w:rPr>
          <w:rFonts w:ascii="Arial" w:hAnsi="Arial"/>
          <w:w w:val="105"/>
          <w:sz w:val="14"/>
        </w:rPr>
        <w:t>Documento firmado electrónicamente el día 21/11/2024 a las 11:14:56 por</w:t>
      </w:r>
    </w:p>
    <w:p>
      <w:pPr>
        <w:spacing w:line="141" w:lineRule="exact" w:before="0"/>
        <w:ind w:left="375" w:right="0" w:firstLine="0"/>
        <w:jc w:val="left"/>
        <w:rPr>
          <w:rFonts w:ascii="Arial"/>
          <w:sz w:val="14"/>
        </w:rPr>
      </w:pPr>
      <w:r>
        <w:rPr>
          <w:rFonts w:ascii="Arial"/>
          <w:w w:val="105"/>
          <w:sz w:val="14"/>
        </w:rPr>
        <w:t>El Secretario</w:t>
      </w:r>
    </w:p>
    <w:p>
      <w:pPr>
        <w:spacing w:line="154" w:lineRule="exact" w:before="0"/>
        <w:ind w:left="375" w:right="0" w:firstLine="0"/>
        <w:jc w:val="left"/>
        <w:rPr>
          <w:rFonts w:ascii="Arial"/>
          <w:sz w:val="14"/>
        </w:rPr>
      </w:pPr>
      <w:r>
        <w:rPr>
          <w:rFonts w:ascii="Arial"/>
          <w:w w:val="105"/>
          <w:sz w:val="14"/>
        </w:rPr>
        <w:t>Fdo.:FERNANDO PEREZ-UTRILLA PEREZ</w:t>
      </w:r>
    </w:p>
    <w:sectPr>
      <w:type w:val="continuous"/>
      <w:pgSz w:w="11910" w:h="16840"/>
      <w:pgMar w:top="1660" w:bottom="1240" w:left="1300" w:right="740"/>
      <w:cols w:num="2" w:equalWidth="0">
        <w:col w:w="4625" w:space="40"/>
        <w:col w:w="5205"/>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ourier New">
    <w:altName w:val="Courier New"/>
    <w:charset w:val="0"/>
    <w:family w:val="modern"/>
    <w:pitch w:val="fixed"/>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group style="position:absolute;margin-left:65.25pt;margin-top:797.205017pt;width:493.15pt;height:7.9pt;mso-position-horizontal-relative:page;mso-position-vertical-relative:page;z-index:-251784192" coordorigin="1305,15944" coordsize="9863,158">
          <v:rect style="position:absolute;left:1315;top:15954;width:9843;height:138" filled="true" fillcolor="#00457a" stroked="false">
            <v:fill type="solid"/>
          </v:rect>
          <v:line style="position:absolute" from="1310,15954" to="1310,16092" stroked="true" strokeweight=".5pt" strokecolor="#000000">
            <v:stroke dashstyle="solid"/>
          </v:line>
          <v:line style="position:absolute" from="11163,15954" to="11163,16092" stroked="true" strokeweight=".5pt" strokecolor="#000000">
            <v:stroke dashstyle="solid"/>
          </v:line>
          <v:line style="position:absolute" from="1305,15949" to="11168,15949" stroked="true" strokeweight=".5pt" strokecolor="#000000">
            <v:stroke dashstyle="solid"/>
          </v:line>
          <v:line style="position:absolute" from="1310,16097" to="11163,16097" stroked="true" strokeweight=".5pt" strokecolor="#000000">
            <v:stroke dashstyle="solid"/>
          </v:line>
          <w10:wrap type="none"/>
        </v:group>
      </w:pict>
    </w:r>
    <w:r>
      <w:rPr/>
      <w:pict>
        <v:group style="position:absolute;margin-left:65.25pt;margin-top:775.507019pt;width:493.15pt;height:19.4pt;mso-position-horizontal-relative:page;mso-position-vertical-relative:page;z-index:-251783168" coordorigin="1305,15510" coordsize="9863,388">
          <v:line style="position:absolute" from="1310,15520" to="1310,15888" stroked="true" strokeweight=".5pt" strokecolor="#000000">
            <v:stroke dashstyle="solid"/>
          </v:line>
          <v:line style="position:absolute" from="11163,15520" to="11163,15888" stroked="true" strokeweight=".5pt" strokecolor="#000000">
            <v:stroke dashstyle="solid"/>
          </v:line>
          <v:line style="position:absolute" from="1305,15515" to="11168,15515" stroked="true" strokeweight=".5pt" strokecolor="#000000">
            <v:stroke dashstyle="solid"/>
          </v:line>
          <v:line style="position:absolute" from="1310,15893" to="11163,15893" stroked="true" strokeweight=".5pt" strokecolor="#000000">
            <v:stroke dashstyle="solid"/>
          </v:line>
          <w10:wrap type="none"/>
        </v:group>
      </w:pict>
    </w:r>
    <w:r>
      <w:rPr/>
      <w:pict>
        <v:shape style="position:absolute;margin-left:69.900002pt;margin-top:765.480103pt;width:483.9pt;height:29.95pt;mso-position-horizontal-relative:page;mso-position-vertical-relative:page;z-index:-251782144" type="#_x0000_t202" filled="false" stroked="false">
          <v:textbox inset="0,0,0,0">
            <w:txbxContent>
              <w:p>
                <w:pPr>
                  <w:spacing w:before="15"/>
                  <w:ind w:left="9384" w:right="0" w:firstLine="0"/>
                  <w:jc w:val="left"/>
                  <w:rPr>
                    <w:rFonts w:ascii="Arial"/>
                    <w:sz w:val="14"/>
                  </w:rPr>
                </w:pPr>
                <w:r>
                  <w:rPr/>
                  <w:fldChar w:fldCharType="begin"/>
                </w:r>
                <w:r>
                  <w:rPr>
                    <w:rFonts w:ascii="Arial"/>
                    <w:sz w:val="14"/>
                  </w:rPr>
                  <w:instrText> PAGE </w:instrText>
                </w:r>
                <w:r>
                  <w:rPr/>
                  <w:fldChar w:fldCharType="separate"/>
                </w:r>
                <w:r>
                  <w:rPr/>
                  <w:t>1</w:t>
                </w:r>
                <w:r>
                  <w:rPr/>
                  <w:fldChar w:fldCharType="end"/>
                </w:r>
                <w:r>
                  <w:rPr>
                    <w:rFonts w:ascii="Arial"/>
                    <w:sz w:val="14"/>
                  </w:rPr>
                  <w:t> / 2</w:t>
                </w:r>
              </w:p>
              <w:p>
                <w:pPr>
                  <w:spacing w:before="34"/>
                  <w:ind w:left="20" w:right="0" w:firstLine="0"/>
                  <w:jc w:val="left"/>
                  <w:rPr>
                    <w:rFonts w:ascii="Arial" w:hAnsi="Arial"/>
                    <w:sz w:val="16"/>
                  </w:rPr>
                </w:pPr>
                <w:r>
                  <w:rPr>
                    <w:rFonts w:ascii="Arial" w:hAnsi="Arial"/>
                    <w:sz w:val="16"/>
                  </w:rPr>
                  <w:t>Documento firmado electrónicamente (RD 1671/2009). La autenticidad de este documento puede ser comprobada mediante el CSV: 15250363716666176346 en </w:t>
                </w:r>
                <w:hyperlink r:id="rId1">
                  <w:r>
                    <w:rPr>
                      <w:rFonts w:ascii="Arial" w:hAnsi="Arial"/>
                      <w:color w:val="0000FF"/>
                      <w:sz w:val="16"/>
                      <w:u w:val="single" w:color="0000FF"/>
                    </w:rPr>
                    <w:t>https://sede.ayuntamientodetias.es</w:t>
                  </w:r>
                </w:hyperlink>
              </w:p>
            </w:txbxContent>
          </v:textbox>
          <w10:wrap type="none"/>
        </v:shape>
      </w:pict>
    </w:r>
    <w:r>
      <w:rPr/>
      <w:pict>
        <v:shape style="position:absolute;margin-left:69.900002pt;margin-top:804.365845pt;width:91.85pt;height:29.35pt;mso-position-horizontal-relative:page;mso-position-vertical-relative:page;z-index:-251781120" type="#_x0000_t202" filled="false" stroked="false">
          <v:textbox inset="0,0,0,0">
            <w:txbxContent>
              <w:p>
                <w:pPr>
                  <w:spacing w:before="14"/>
                  <w:ind w:left="20" w:right="240" w:firstLine="0"/>
                  <w:jc w:val="left"/>
                  <w:rPr>
                    <w:rFonts w:ascii="Arial" w:hAnsi="Arial"/>
                    <w:sz w:val="16"/>
                  </w:rPr>
                </w:pPr>
                <w:r>
                  <w:rPr>
                    <w:rFonts w:ascii="Arial" w:hAnsi="Arial"/>
                    <w:sz w:val="16"/>
                  </w:rPr>
                  <w:t>Ayuntamiento de Tías C/ Libertad 50</w:t>
                </w:r>
              </w:p>
              <w:p>
                <w:pPr>
                  <w:spacing w:before="0"/>
                  <w:ind w:left="20" w:right="0" w:firstLine="0"/>
                  <w:jc w:val="left"/>
                  <w:rPr>
                    <w:rFonts w:ascii="Arial" w:hAnsi="Arial"/>
                    <w:sz w:val="16"/>
                  </w:rPr>
                </w:pPr>
                <w:r>
                  <w:rPr>
                    <w:rFonts w:ascii="Arial" w:hAnsi="Arial"/>
                    <w:sz w:val="16"/>
                  </w:rPr>
                  <w:t>35572-Tías (Las Palmas)</w:t>
                </w:r>
              </w:p>
            </w:txbxContent>
          </v:textbox>
          <w10:wrap type="none"/>
        </v:shape>
      </w:pict>
    </w:r>
    <w:r>
      <w:rPr/>
      <w:pict>
        <v:shape style="position:absolute;margin-left:450.679993pt;margin-top:804.365845pt;width:103.1pt;height:29.35pt;mso-position-horizontal-relative:page;mso-position-vertical-relative:page;z-index:-251780096" type="#_x0000_t202" filled="false" stroked="false">
          <v:textbox inset="0,0,0,0">
            <w:txbxContent>
              <w:p>
                <w:pPr>
                  <w:spacing w:before="14"/>
                  <w:ind w:left="884" w:right="0" w:firstLine="0"/>
                  <w:jc w:val="left"/>
                  <w:rPr>
                    <w:rFonts w:ascii="Arial"/>
                    <w:sz w:val="16"/>
                  </w:rPr>
                </w:pPr>
                <w:r>
                  <w:rPr>
                    <w:rFonts w:ascii="Arial"/>
                    <w:sz w:val="16"/>
                  </w:rPr>
                  <w:t>Tlf: 928 833</w:t>
                </w:r>
                <w:r>
                  <w:rPr>
                    <w:rFonts w:ascii="Arial"/>
                    <w:spacing w:val="-7"/>
                    <w:sz w:val="16"/>
                  </w:rPr>
                  <w:t> </w:t>
                </w:r>
                <w:r>
                  <w:rPr>
                    <w:rFonts w:ascii="Arial"/>
                    <w:sz w:val="16"/>
                  </w:rPr>
                  <w:t>619</w:t>
                </w:r>
              </w:p>
              <w:p>
                <w:pPr>
                  <w:spacing w:before="0"/>
                  <w:ind w:left="48" w:right="0" w:hanging="29"/>
                  <w:jc w:val="left"/>
                  <w:rPr>
                    <w:rFonts w:ascii="Arial"/>
                    <w:sz w:val="16"/>
                  </w:rPr>
                </w:pPr>
                <w:hyperlink r:id="rId2">
                  <w:r>
                    <w:rPr>
                      <w:rFonts w:ascii="Arial"/>
                      <w:spacing w:val="-1"/>
                      <w:sz w:val="16"/>
                    </w:rPr>
                    <w:t>info@ayuntamientodetias.es</w:t>
                  </w:r>
                </w:hyperlink>
                <w:r>
                  <w:rPr>
                    <w:rFonts w:ascii="Arial"/>
                    <w:spacing w:val="-1"/>
                    <w:sz w:val="16"/>
                  </w:rPr>
                  <w:t> sede.ayuntamientodetias.es</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1530240">
          <wp:simplePos x="0" y="0"/>
          <wp:positionH relativeFrom="page">
            <wp:posOffset>917289</wp:posOffset>
          </wp:positionH>
          <wp:positionV relativeFrom="page">
            <wp:posOffset>206997</wp:posOffset>
          </wp:positionV>
          <wp:extent cx="545115" cy="798457"/>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45115" cy="798457"/>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32pt;margin-top:39.582195pt;width:173.9pt;height:17.650pt;mso-position-horizontal-relative:page;mso-position-vertical-relative:page;z-index:-251785216" type="#_x0000_t202" filled="false" stroked="false">
          <v:textbox inset="0,0,0,0">
            <w:txbxContent>
              <w:p>
                <w:pPr>
                  <w:spacing w:before="11"/>
                  <w:ind w:left="20" w:right="0" w:firstLine="0"/>
                  <w:jc w:val="left"/>
                  <w:rPr>
                    <w:rFonts w:ascii="Arial" w:hAnsi="Arial"/>
                    <w:b/>
                    <w:sz w:val="28"/>
                  </w:rPr>
                </w:pPr>
                <w:r>
                  <w:rPr>
                    <w:rFonts w:ascii="Arial" w:hAnsi="Arial"/>
                    <w:b/>
                    <w:sz w:val="28"/>
                  </w:rPr>
                  <w:t>AYUNTAMIENTO DE TÍAS</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118" w:hanging="181"/>
      </w:pPr>
      <w:rPr>
        <w:rFonts w:hint="default" w:ascii="Times New Roman" w:hAnsi="Times New Roman" w:eastAsia="Times New Roman" w:cs="Times New Roman"/>
        <w:b/>
        <w:bCs/>
        <w:spacing w:val="-20"/>
        <w:w w:val="100"/>
        <w:sz w:val="24"/>
        <w:szCs w:val="24"/>
        <w:lang w:val="es-es" w:eastAsia="es-es" w:bidi="es-es"/>
      </w:rPr>
    </w:lvl>
    <w:lvl w:ilvl="1">
      <w:start w:val="1"/>
      <w:numFmt w:val="decimal"/>
      <w:lvlText w:val="%2."/>
      <w:lvlJc w:val="left"/>
      <w:pPr>
        <w:ind w:left="838" w:hanging="349"/>
        <w:jc w:val="left"/>
      </w:pPr>
      <w:rPr>
        <w:rFonts w:hint="default" w:ascii="Times New Roman" w:hAnsi="Times New Roman" w:eastAsia="Times New Roman" w:cs="Times New Roman"/>
        <w:spacing w:val="-12"/>
        <w:w w:val="100"/>
        <w:sz w:val="24"/>
        <w:szCs w:val="24"/>
        <w:lang w:val="es-es" w:eastAsia="es-es" w:bidi="es-es"/>
      </w:rPr>
    </w:lvl>
    <w:lvl w:ilvl="2">
      <w:start w:val="0"/>
      <w:numFmt w:val="bullet"/>
      <w:lvlText w:val="•"/>
      <w:lvlJc w:val="left"/>
      <w:pPr>
        <w:ind w:left="1842" w:hanging="349"/>
      </w:pPr>
      <w:rPr>
        <w:rFonts w:hint="default"/>
        <w:lang w:val="es-es" w:eastAsia="es-es" w:bidi="es-es"/>
      </w:rPr>
    </w:lvl>
    <w:lvl w:ilvl="3">
      <w:start w:val="0"/>
      <w:numFmt w:val="bullet"/>
      <w:lvlText w:val="•"/>
      <w:lvlJc w:val="left"/>
      <w:pPr>
        <w:ind w:left="2845" w:hanging="349"/>
      </w:pPr>
      <w:rPr>
        <w:rFonts w:hint="default"/>
        <w:lang w:val="es-es" w:eastAsia="es-es" w:bidi="es-es"/>
      </w:rPr>
    </w:lvl>
    <w:lvl w:ilvl="4">
      <w:start w:val="0"/>
      <w:numFmt w:val="bullet"/>
      <w:lvlText w:val="•"/>
      <w:lvlJc w:val="left"/>
      <w:pPr>
        <w:ind w:left="3848" w:hanging="349"/>
      </w:pPr>
      <w:rPr>
        <w:rFonts w:hint="default"/>
        <w:lang w:val="es-es" w:eastAsia="es-es" w:bidi="es-es"/>
      </w:rPr>
    </w:lvl>
    <w:lvl w:ilvl="5">
      <w:start w:val="0"/>
      <w:numFmt w:val="bullet"/>
      <w:lvlText w:val="•"/>
      <w:lvlJc w:val="left"/>
      <w:pPr>
        <w:ind w:left="4851" w:hanging="349"/>
      </w:pPr>
      <w:rPr>
        <w:rFonts w:hint="default"/>
        <w:lang w:val="es-es" w:eastAsia="es-es" w:bidi="es-es"/>
      </w:rPr>
    </w:lvl>
    <w:lvl w:ilvl="6">
      <w:start w:val="0"/>
      <w:numFmt w:val="bullet"/>
      <w:lvlText w:val="•"/>
      <w:lvlJc w:val="left"/>
      <w:pPr>
        <w:ind w:left="5854" w:hanging="349"/>
      </w:pPr>
      <w:rPr>
        <w:rFonts w:hint="default"/>
        <w:lang w:val="es-es" w:eastAsia="es-es" w:bidi="es-es"/>
      </w:rPr>
    </w:lvl>
    <w:lvl w:ilvl="7">
      <w:start w:val="0"/>
      <w:numFmt w:val="bullet"/>
      <w:lvlText w:val="•"/>
      <w:lvlJc w:val="left"/>
      <w:pPr>
        <w:ind w:left="6857" w:hanging="349"/>
      </w:pPr>
      <w:rPr>
        <w:rFonts w:hint="default"/>
        <w:lang w:val="es-es" w:eastAsia="es-es" w:bidi="es-es"/>
      </w:rPr>
    </w:lvl>
    <w:lvl w:ilvl="8">
      <w:start w:val="0"/>
      <w:numFmt w:val="bullet"/>
      <w:lvlText w:val="•"/>
      <w:lvlJc w:val="left"/>
      <w:pPr>
        <w:ind w:left="7860" w:hanging="349"/>
      </w:pPr>
      <w:rPr>
        <w:rFonts w:hint="default"/>
        <w:lang w:val="es-es" w:eastAsia="es-es" w:bidi="es-e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s-es" w:eastAsia="es-es" w:bidi="es-es"/>
    </w:rPr>
  </w:style>
  <w:style w:styleId="BodyText" w:type="paragraph">
    <w:name w:val="Body Text"/>
    <w:basedOn w:val="Normal"/>
    <w:uiPriority w:val="1"/>
    <w:qFormat/>
    <w:pPr/>
    <w:rPr>
      <w:rFonts w:ascii="Times New Roman" w:hAnsi="Times New Roman" w:eastAsia="Times New Roman" w:cs="Times New Roman"/>
      <w:sz w:val="24"/>
      <w:szCs w:val="24"/>
      <w:lang w:val="es-es" w:eastAsia="es-es" w:bidi="es-es"/>
    </w:rPr>
  </w:style>
  <w:style w:styleId="Heading1" w:type="paragraph">
    <w:name w:val="Heading 1"/>
    <w:basedOn w:val="Normal"/>
    <w:uiPriority w:val="1"/>
    <w:qFormat/>
    <w:pPr>
      <w:ind w:left="117"/>
      <w:outlineLvl w:val="1"/>
    </w:pPr>
    <w:rPr>
      <w:rFonts w:ascii="Times New Roman" w:hAnsi="Times New Roman" w:eastAsia="Times New Roman" w:cs="Times New Roman"/>
      <w:b/>
      <w:bCs/>
      <w:sz w:val="24"/>
      <w:szCs w:val="24"/>
      <w:lang w:val="es-es" w:eastAsia="es-es" w:bidi="es-es"/>
    </w:rPr>
  </w:style>
  <w:style w:styleId="ListParagraph" w:type="paragraph">
    <w:name w:val="List Paragraph"/>
    <w:basedOn w:val="Normal"/>
    <w:uiPriority w:val="1"/>
    <w:qFormat/>
    <w:pPr>
      <w:spacing w:before="200"/>
      <w:ind w:left="837" w:right="109" w:hanging="360"/>
      <w:jc w:val="both"/>
    </w:pPr>
    <w:rPr>
      <w:rFonts w:ascii="Times New Roman" w:hAnsi="Times New Roman" w:eastAsia="Times New Roman" w:cs="Times New Roman"/>
      <w:lang w:val="es-es" w:eastAsia="es-es" w:bidi="es-es"/>
    </w:rPr>
  </w:style>
  <w:style w:styleId="TableParagraph" w:type="paragraph">
    <w:name w:val="Table Paragraph"/>
    <w:basedOn w:val="Normal"/>
    <w:uiPriority w:val="1"/>
    <w:qFormat/>
    <w:pPr/>
    <w:rPr>
      <w:lang w:val="es-es" w:eastAsia="es-es" w:bidi="es-e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s://sede.ayuntamientodetias.es/" TargetMode="External"/><Relationship Id="rId2" Type="http://schemas.openxmlformats.org/officeDocument/2006/relationships/hyperlink" Target="mailto:info@ayuntamientodetias.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msanch14</dc:creator>
  <dc:title>INFORME-PROPUESTA</dc:title>
  <dcterms:created xsi:type="dcterms:W3CDTF">2025-01-17T10:54:05Z</dcterms:created>
  <dcterms:modified xsi:type="dcterms:W3CDTF">2025-01-17T10:54:05Z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2019-07-31T00:00:00Z</vt:filetime>
  </property>
  <property fmtid="{D5CDD505-2E9C-101B-9397-08002B2CF9AE}" pid="3" name="Creator">
    <vt:lpwstr>Microsoft Office Word</vt:lpwstr>
  </property>
  <property fmtid="{D5CDD505-2E9C-101B-9397-08002B2CF9AE}" pid="4" name="LastSaved">
    <vt:filetime>2025-01-17T00:00:00Z</vt:filetime>
  </property>
</Properties>
</file>